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A277" w14:textId="77777777" w:rsidR="00D211CD" w:rsidRDefault="001D0D03">
      <w:r>
        <w:rPr>
          <w:b/>
          <w:bCs/>
          <w:color w:val="0F6E56"/>
          <w:sz w:val="28"/>
          <w:szCs w:val="28"/>
        </w:rPr>
        <w:t>mi.team</w:t>
      </w:r>
    </w:p>
    <w:p w14:paraId="1D3FA278" w14:textId="77777777" w:rsidR="00D211CD" w:rsidRDefault="001D0D03">
      <w:pPr>
        <w:spacing w:before="120" w:after="80"/>
      </w:pPr>
      <w:r>
        <w:rPr>
          <w:b/>
          <w:bCs/>
          <w:sz w:val="40"/>
          <w:szCs w:val="40"/>
        </w:rPr>
        <w:t>Data Protection Impact Assessment</w:t>
      </w:r>
    </w:p>
    <w:p w14:paraId="1D3FA279" w14:textId="77777777" w:rsidR="00D211CD" w:rsidRDefault="001D0D03">
      <w:pPr>
        <w:spacing w:after="320"/>
      </w:pPr>
      <w:r>
        <w:rPr>
          <w:i/>
          <w:iCs/>
          <w:color w:val="666666"/>
        </w:rPr>
        <w:t xml:space="preserve">Introduction of </w:t>
      </w:r>
      <w:proofErr w:type="gramStart"/>
      <w:r>
        <w:rPr>
          <w:i/>
          <w:iCs/>
          <w:color w:val="666666"/>
        </w:rPr>
        <w:t>mi.team</w:t>
      </w:r>
      <w:proofErr w:type="gramEnd"/>
      <w:r>
        <w:rPr>
          <w:i/>
          <w:iCs/>
          <w:color w:val="666666"/>
        </w:rPr>
        <w:t xml:space="preserve"> productivity and device monitoring software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21"/>
        <w:gridCol w:w="6815"/>
      </w:tblGrid>
      <w:tr w:rsidR="00D211CD" w14:paraId="1D3FA27C" w14:textId="77777777">
        <w:tblPrEx>
          <w:tblCellMar>
            <w:top w:w="0" w:type="dxa"/>
            <w:bottom w:w="0" w:type="dxa"/>
          </w:tblCellMar>
        </w:tblPrEx>
        <w:tc>
          <w:tcPr>
            <w:tcW w:w="1500" w:type="pct"/>
            <w:shd w:val="clear" w:color="auto" w:fill="F2F2F2"/>
          </w:tcPr>
          <w:p w14:paraId="1D3FA27A" w14:textId="77777777" w:rsidR="00D211CD" w:rsidRDefault="001D0D03">
            <w:r>
              <w:rPr>
                <w:b/>
                <w:bCs/>
              </w:rPr>
              <w:t>Organisation</w:t>
            </w:r>
          </w:p>
        </w:tc>
        <w:tc>
          <w:tcPr>
            <w:tcW w:w="3500" w:type="pct"/>
          </w:tcPr>
          <w:p w14:paraId="1D3FA27B" w14:textId="77777777" w:rsidR="00D211CD" w:rsidRDefault="001D0D03">
            <w:r>
              <w:rPr>
                <w:b/>
                <w:bCs/>
                <w:color w:val="0F6E56"/>
              </w:rPr>
              <w:t>[Organisation name]</w:t>
            </w:r>
          </w:p>
        </w:tc>
      </w:tr>
      <w:tr w:rsidR="00D211CD" w14:paraId="1D3FA27F" w14:textId="77777777">
        <w:tblPrEx>
          <w:tblCellMar>
            <w:top w:w="0" w:type="dxa"/>
            <w:bottom w:w="0" w:type="dxa"/>
          </w:tblCellMar>
        </w:tblPrEx>
        <w:tc>
          <w:tcPr>
            <w:tcW w:w="1500" w:type="pct"/>
            <w:shd w:val="clear" w:color="auto" w:fill="F2F2F2"/>
          </w:tcPr>
          <w:p w14:paraId="1D3FA27D" w14:textId="77777777" w:rsidR="00D211CD" w:rsidRDefault="001D0D03">
            <w:r>
              <w:rPr>
                <w:b/>
                <w:bCs/>
              </w:rPr>
              <w:t>Completed by</w:t>
            </w:r>
          </w:p>
        </w:tc>
        <w:tc>
          <w:tcPr>
            <w:tcW w:w="3500" w:type="pct"/>
          </w:tcPr>
          <w:p w14:paraId="1D3FA27E" w14:textId="77777777" w:rsidR="00D211CD" w:rsidRDefault="001D0D03">
            <w:r>
              <w:rPr>
                <w:b/>
                <w:bCs/>
                <w:color w:val="0F6E56"/>
              </w:rPr>
              <w:t>[Name / role]</w:t>
            </w:r>
          </w:p>
        </w:tc>
      </w:tr>
      <w:tr w:rsidR="00D211CD" w14:paraId="1D3FA282" w14:textId="77777777">
        <w:tblPrEx>
          <w:tblCellMar>
            <w:top w:w="0" w:type="dxa"/>
            <w:bottom w:w="0" w:type="dxa"/>
          </w:tblCellMar>
        </w:tblPrEx>
        <w:tc>
          <w:tcPr>
            <w:tcW w:w="1500" w:type="pct"/>
            <w:shd w:val="clear" w:color="auto" w:fill="F2F2F2"/>
          </w:tcPr>
          <w:p w14:paraId="1D3FA280" w14:textId="77777777" w:rsidR="00D211CD" w:rsidRDefault="001D0D03">
            <w:r>
              <w:rPr>
                <w:b/>
                <w:bCs/>
              </w:rPr>
              <w:t>Date completed</w:t>
            </w:r>
          </w:p>
        </w:tc>
        <w:tc>
          <w:tcPr>
            <w:tcW w:w="3500" w:type="pct"/>
          </w:tcPr>
          <w:p w14:paraId="1D3FA281" w14:textId="77777777" w:rsidR="00D211CD" w:rsidRDefault="001D0D03">
            <w:r>
              <w:rPr>
                <w:b/>
                <w:bCs/>
                <w:color w:val="0F6E56"/>
              </w:rPr>
              <w:t>[Date]</w:t>
            </w:r>
          </w:p>
        </w:tc>
      </w:tr>
      <w:tr w:rsidR="00D211CD" w14:paraId="1D3FA285" w14:textId="77777777">
        <w:tblPrEx>
          <w:tblCellMar>
            <w:top w:w="0" w:type="dxa"/>
            <w:bottom w:w="0" w:type="dxa"/>
          </w:tblCellMar>
        </w:tblPrEx>
        <w:tc>
          <w:tcPr>
            <w:tcW w:w="1500" w:type="pct"/>
            <w:shd w:val="clear" w:color="auto" w:fill="F2F2F2"/>
          </w:tcPr>
          <w:p w14:paraId="1D3FA283" w14:textId="77777777" w:rsidR="00D211CD" w:rsidRDefault="001D0D03">
            <w:r>
              <w:rPr>
                <w:b/>
                <w:bCs/>
              </w:rPr>
              <w:t>Reference</w:t>
            </w:r>
          </w:p>
        </w:tc>
        <w:tc>
          <w:tcPr>
            <w:tcW w:w="3500" w:type="pct"/>
          </w:tcPr>
          <w:p w14:paraId="1D3FA284" w14:textId="77777777" w:rsidR="00D211CD" w:rsidRDefault="001D0D03">
            <w:r>
              <w:rPr>
                <w:b/>
                <w:bCs/>
                <w:color w:val="0F6E56"/>
              </w:rPr>
              <w:t>[e.g. DPIA-2026-01]</w:t>
            </w:r>
          </w:p>
        </w:tc>
      </w:tr>
    </w:tbl>
    <w:p w14:paraId="1D3FA286" w14:textId="77777777" w:rsidR="00D211CD" w:rsidRDefault="00D211CD">
      <w:pPr>
        <w:spacing w:after="300"/>
      </w:pPr>
    </w:p>
    <w:p w14:paraId="1D3FA28B" w14:textId="77777777" w:rsidR="00D211CD" w:rsidRDefault="001D0D03">
      <w:pPr>
        <w:pStyle w:val="Heading1"/>
        <w:spacing w:before="240" w:after="120"/>
      </w:pPr>
      <w:r>
        <w:t>Step 1: Identify the Need for a DPIA</w:t>
      </w:r>
    </w:p>
    <w:p w14:paraId="1D3FA28C" w14:textId="77777777" w:rsidR="00D211CD" w:rsidRDefault="001D0D03">
      <w:pPr>
        <w:spacing w:after="200"/>
      </w:pPr>
      <w:r>
        <w:rPr>
          <w:b/>
          <w:bCs/>
          <w:color w:val="0F6E56"/>
        </w:rPr>
        <w:t>[Organisation name]</w:t>
      </w:r>
      <w:r>
        <w:t xml:space="preserve"> is introducing </w:t>
      </w:r>
      <w:proofErr w:type="gramStart"/>
      <w:r>
        <w:t>mi.team</w:t>
      </w:r>
      <w:proofErr w:type="gramEnd"/>
      <w:r>
        <w:t xml:space="preserve">, productivity and device monitoring software, on company-owned devices used by </w:t>
      </w:r>
      <w:r>
        <w:rPr>
          <w:b/>
          <w:bCs/>
          <w:color w:val="0F6E56"/>
        </w:rPr>
        <w:t>[all staff / department name]</w:t>
      </w:r>
      <w:r>
        <w:t>. This involves systematic monitoring of employee activity, which the ICO identifies as processing likely to require a DPIA.</w:t>
      </w:r>
    </w:p>
    <w:p w14:paraId="1D3FA28D" w14:textId="77777777" w:rsidR="00D211CD" w:rsidRDefault="001D0D03">
      <w:pPr>
        <w:pStyle w:val="Heading1"/>
        <w:spacing w:before="240" w:after="120"/>
      </w:pPr>
      <w:r>
        <w:t>Step 2: Describe the Processing</w:t>
      </w:r>
    </w:p>
    <w:p w14:paraId="1D3FA28E" w14:textId="77777777" w:rsidR="00D211CD" w:rsidRDefault="001D0D03">
      <w:pPr>
        <w:spacing w:after="160"/>
      </w:pPr>
      <w:r>
        <w:rPr>
          <w:b/>
          <w:bCs/>
        </w:rPr>
        <w:t xml:space="preserve">Nature: </w:t>
      </w:r>
      <w:proofErr w:type="gramStart"/>
      <w:r>
        <w:t>mi.team</w:t>
      </w:r>
      <w:proofErr w:type="gramEnd"/>
      <w:r>
        <w:t xml:space="preserve"> records which applications and websites are used and for how long on company devices, categorised automatically into productive, unproductive, and neutral time. It does not take screenshots, log keystrokes, or record audio or video at any point. Activity identified as personal or private is automatically redacted by </w:t>
      </w:r>
      <w:proofErr w:type="spellStart"/>
      <w:proofErr w:type="gramStart"/>
      <w:r>
        <w:t>mi.team's</w:t>
      </w:r>
      <w:proofErr w:type="spellEnd"/>
      <w:proofErr w:type="gramEnd"/>
      <w:r>
        <w:t xml:space="preserve"> Privacy AI before it is visible to anyone, including managers.</w:t>
      </w:r>
    </w:p>
    <w:p w14:paraId="1D3FA28F" w14:textId="77777777" w:rsidR="00D211CD" w:rsidRDefault="001D0D03">
      <w:pPr>
        <w:spacing w:after="160"/>
      </w:pPr>
      <w:r>
        <w:rPr>
          <w:b/>
          <w:bCs/>
        </w:rPr>
        <w:t xml:space="preserve">Scope: </w:t>
      </w:r>
      <w:r>
        <w:t>Applies only to company-owned devices, during all hours the device is in use — this includes time outside standard working hours, so that effort outside the normal 9-to-5 is also visible where relevant. Does not apply to personal devices under any circumstances.</w:t>
      </w:r>
    </w:p>
    <w:p w14:paraId="1D3FA290" w14:textId="77777777" w:rsidR="00D211CD" w:rsidRDefault="001D0D03">
      <w:pPr>
        <w:spacing w:after="160"/>
      </w:pPr>
      <w:r>
        <w:rPr>
          <w:b/>
          <w:bCs/>
        </w:rPr>
        <w:t xml:space="preserve">Context: </w:t>
      </w:r>
      <w:r>
        <w:t xml:space="preserve">Staff were informed in advance of monitoring being introduced, via a company-wide communication sent on </w:t>
      </w:r>
      <w:r>
        <w:rPr>
          <w:b/>
          <w:bCs/>
          <w:color w:val="0F6E56"/>
        </w:rPr>
        <w:t>[date]</w:t>
      </w:r>
      <w:r>
        <w:t xml:space="preserve">, explaining plainly what is and isn't collected. This was sent before </w:t>
      </w:r>
      <w:proofErr w:type="gramStart"/>
      <w:r>
        <w:t>mi.team</w:t>
      </w:r>
      <w:proofErr w:type="gramEnd"/>
      <w:r>
        <w:t xml:space="preserve"> was installed on any device.</w:t>
      </w:r>
    </w:p>
    <w:p w14:paraId="1D3FA291" w14:textId="77777777" w:rsidR="00D211CD" w:rsidRDefault="001D0D03">
      <w:pPr>
        <w:spacing w:after="200"/>
      </w:pPr>
      <w:r>
        <w:rPr>
          <w:b/>
          <w:bCs/>
        </w:rPr>
        <w:t xml:space="preserve">Purpose: </w:t>
      </w:r>
      <w:r>
        <w:rPr>
          <w:b/>
          <w:bCs/>
          <w:color w:val="0F6E56"/>
        </w:rPr>
        <w:t>[Select the reasons that genuinely apply, e.g.]</w:t>
      </w:r>
      <w:r>
        <w:t xml:space="preserve"> to understand team workload distribution, identify where processes or tools are creating inefficiency, support fair and evidence-based flexible or hybrid working arrangements, and maintain basic device security oversight (patch status, firewall, encryption).</w:t>
      </w:r>
    </w:p>
    <w:p w14:paraId="1D3FA292" w14:textId="77777777" w:rsidR="00D211CD" w:rsidRDefault="001D0D03">
      <w:pPr>
        <w:pStyle w:val="Heading1"/>
        <w:spacing w:before="240" w:after="120"/>
      </w:pPr>
      <w:r>
        <w:t>Step 3: Consultation</w:t>
      </w:r>
    </w:p>
    <w:p w14:paraId="1D3FA293" w14:textId="77777777" w:rsidR="00D211CD" w:rsidRDefault="001D0D03">
      <w:pPr>
        <w:spacing w:after="200"/>
      </w:pPr>
      <w:r>
        <w:t xml:space="preserve">Staff were informed via a company-wide announcement on </w:t>
      </w:r>
      <w:r>
        <w:rPr>
          <w:b/>
          <w:bCs/>
          <w:color w:val="0F6E56"/>
        </w:rPr>
        <w:t>[date]</w:t>
      </w:r>
      <w:r>
        <w:t xml:space="preserve">, with the opportunity to raise questions with </w:t>
      </w:r>
      <w:r>
        <w:rPr>
          <w:b/>
          <w:bCs/>
          <w:color w:val="0F6E56"/>
        </w:rPr>
        <w:t>[named contact/role]</w:t>
      </w:r>
      <w:r>
        <w:t xml:space="preserve">. </w:t>
      </w:r>
      <w:r>
        <w:rPr>
          <w:b/>
          <w:bCs/>
          <w:color w:val="0F6E56"/>
        </w:rPr>
        <w:t>[If applicable: staff representatives or a union were consulted on [date].]</w:t>
      </w:r>
    </w:p>
    <w:p w14:paraId="1D3FA294" w14:textId="77777777" w:rsidR="00D211CD" w:rsidRDefault="001D0D03">
      <w:pPr>
        <w:pStyle w:val="Heading1"/>
        <w:spacing w:before="240" w:after="120"/>
      </w:pPr>
      <w:r>
        <w:t>Step 4: Assess Necessity and Proportionality</w:t>
      </w:r>
    </w:p>
    <w:p w14:paraId="1D3FA295" w14:textId="77777777" w:rsidR="00D211CD" w:rsidRDefault="001D0D03">
      <w:pPr>
        <w:spacing w:after="160"/>
      </w:pPr>
      <w:r>
        <w:t>Lawful basis: Legitimate interests (UK GDPR Article 6(1)(f)), assessed against the three-part test:</w:t>
      </w:r>
    </w:p>
    <w:p w14:paraId="1D3FA296" w14:textId="77777777" w:rsidR="00D211CD" w:rsidRDefault="001D0D03">
      <w:pPr>
        <w:pStyle w:val="ListParagraph"/>
        <w:numPr>
          <w:ilvl w:val="0"/>
          <w:numId w:val="1"/>
        </w:numPr>
        <w:spacing w:after="120"/>
      </w:pPr>
      <w:r>
        <w:t>Purpose — the business reasons documented in Step 2 above are genuine and specific, not generic.</w:t>
      </w:r>
    </w:p>
    <w:p w14:paraId="1D3FA297" w14:textId="77777777" w:rsidR="00D211CD" w:rsidRDefault="001D0D03">
      <w:pPr>
        <w:pStyle w:val="ListParagraph"/>
        <w:numPr>
          <w:ilvl w:val="0"/>
          <w:numId w:val="1"/>
        </w:numPr>
        <w:spacing w:after="120"/>
      </w:pPr>
      <w:r>
        <w:t>Necessity — less intrusive alternatives (manual timesheets, ad-hoc check-ins) were considered and found less accurate and more time-consuming. Screenshot- or keystroke-based tools were ruled out as disproportionate given the same insight is achievable without them.</w:t>
      </w:r>
    </w:p>
    <w:p w14:paraId="1D3FA298" w14:textId="77777777" w:rsidR="00D211CD" w:rsidRDefault="001D0D03">
      <w:pPr>
        <w:pStyle w:val="ListParagraph"/>
        <w:numPr>
          <w:ilvl w:val="0"/>
          <w:numId w:val="1"/>
        </w:numPr>
        <w:spacing w:after="120"/>
      </w:pPr>
      <w:r>
        <w:t>Balancing — the business need is judged to outweigh the impact on staff privacy, given the safeguards in Step 6 below.</w:t>
      </w:r>
    </w:p>
    <w:p w14:paraId="1D3FA299" w14:textId="77777777" w:rsidR="00D211CD" w:rsidRDefault="001D0D03">
      <w:pPr>
        <w:pStyle w:val="Heading1"/>
        <w:spacing w:before="240" w:after="120"/>
      </w:pPr>
      <w:r>
        <w:lastRenderedPageBreak/>
        <w:t>Step 5: Identify and Assess Risks</w:t>
      </w:r>
    </w:p>
    <w:p w14:paraId="1D3FA29A" w14:textId="77777777" w:rsidR="00D211CD" w:rsidRDefault="001D0D03">
      <w:pPr>
        <w:spacing w:after="160"/>
      </w:pPr>
      <w:r>
        <w:t xml:space="preserve">For a standard </w:t>
      </w:r>
      <w:proofErr w:type="gramStart"/>
      <w:r>
        <w:t>mi.team</w:t>
      </w:r>
      <w:proofErr w:type="gramEnd"/>
      <w:r>
        <w:t xml:space="preserve"> rollout using our recommended settings, the baseline risk profile is low across the board — adjust any row where your organisation's circumstances genuinely differ.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82"/>
        <w:gridCol w:w="1752"/>
        <w:gridCol w:w="1752"/>
        <w:gridCol w:w="1850"/>
      </w:tblGrid>
      <w:tr w:rsidR="00D211CD" w14:paraId="1D3FA29F" w14:textId="77777777">
        <w:tblPrEx>
          <w:tblCellMar>
            <w:top w:w="0" w:type="dxa"/>
            <w:bottom w:w="0" w:type="dxa"/>
          </w:tblCellMar>
        </w:tblPrEx>
        <w:tc>
          <w:tcPr>
            <w:tcW w:w="2250" w:type="pct"/>
            <w:shd w:val="clear" w:color="auto" w:fill="F2F2F2"/>
          </w:tcPr>
          <w:p w14:paraId="1D3FA29B" w14:textId="77777777" w:rsidR="00D211CD" w:rsidRDefault="001D0D03">
            <w:r>
              <w:rPr>
                <w:b/>
                <w:bCs/>
              </w:rPr>
              <w:t>Risk</w:t>
            </w:r>
          </w:p>
        </w:tc>
        <w:tc>
          <w:tcPr>
            <w:tcW w:w="900" w:type="pct"/>
            <w:shd w:val="clear" w:color="auto" w:fill="F2F2F2"/>
          </w:tcPr>
          <w:p w14:paraId="1D3FA29C" w14:textId="77777777" w:rsidR="00D211CD" w:rsidRDefault="001D0D03">
            <w:r>
              <w:rPr>
                <w:b/>
                <w:bCs/>
              </w:rPr>
              <w:t>Likelihood</w:t>
            </w:r>
          </w:p>
        </w:tc>
        <w:tc>
          <w:tcPr>
            <w:tcW w:w="900" w:type="pct"/>
            <w:shd w:val="clear" w:color="auto" w:fill="F2F2F2"/>
          </w:tcPr>
          <w:p w14:paraId="1D3FA29D" w14:textId="77777777" w:rsidR="00D211CD" w:rsidRDefault="001D0D03">
            <w:r>
              <w:rPr>
                <w:b/>
                <w:bCs/>
              </w:rPr>
              <w:t>Severity</w:t>
            </w:r>
          </w:p>
        </w:tc>
        <w:tc>
          <w:tcPr>
            <w:tcW w:w="950" w:type="pct"/>
            <w:shd w:val="clear" w:color="auto" w:fill="F2F2F2"/>
          </w:tcPr>
          <w:p w14:paraId="1D3FA29E" w14:textId="77777777" w:rsidR="00D211CD" w:rsidRDefault="001D0D03">
            <w:r>
              <w:rPr>
                <w:b/>
                <w:bCs/>
              </w:rPr>
              <w:t>Overall Risk</w:t>
            </w:r>
          </w:p>
        </w:tc>
      </w:tr>
      <w:tr w:rsidR="00D211CD" w14:paraId="1D3FA2A4" w14:textId="77777777">
        <w:tblPrEx>
          <w:tblCellMar>
            <w:top w:w="0" w:type="dxa"/>
            <w:bottom w:w="0" w:type="dxa"/>
          </w:tblCellMar>
        </w:tblPrEx>
        <w:tc>
          <w:tcPr>
            <w:tcW w:w="2250" w:type="pct"/>
          </w:tcPr>
          <w:p w14:paraId="1D3FA2A0" w14:textId="77777777" w:rsidR="00D211CD" w:rsidRDefault="001D0D03">
            <w:r>
              <w:t>Personal/private data inadvertently captured</w:t>
            </w:r>
          </w:p>
        </w:tc>
        <w:tc>
          <w:tcPr>
            <w:tcW w:w="900" w:type="pct"/>
          </w:tcPr>
          <w:p w14:paraId="1D3FA2A1" w14:textId="77777777" w:rsidR="00D211CD" w:rsidRDefault="001D0D03">
            <w:r>
              <w:t>Low</w:t>
            </w:r>
          </w:p>
        </w:tc>
        <w:tc>
          <w:tcPr>
            <w:tcW w:w="900" w:type="pct"/>
          </w:tcPr>
          <w:p w14:paraId="1D3FA2A2" w14:textId="77777777" w:rsidR="00D211CD" w:rsidRDefault="001D0D03">
            <w:r>
              <w:t>Medium</w:t>
            </w:r>
          </w:p>
        </w:tc>
        <w:tc>
          <w:tcPr>
            <w:tcW w:w="950" w:type="pct"/>
          </w:tcPr>
          <w:p w14:paraId="1D3FA2A3" w14:textId="77777777" w:rsidR="00D211CD" w:rsidRDefault="001D0D03">
            <w:r>
              <w:t>Low</w:t>
            </w:r>
          </w:p>
        </w:tc>
      </w:tr>
      <w:tr w:rsidR="00D211CD" w14:paraId="1D3FA2A9" w14:textId="77777777">
        <w:tblPrEx>
          <w:tblCellMar>
            <w:top w:w="0" w:type="dxa"/>
            <w:bottom w:w="0" w:type="dxa"/>
          </w:tblCellMar>
        </w:tblPrEx>
        <w:tc>
          <w:tcPr>
            <w:tcW w:w="2250" w:type="pct"/>
          </w:tcPr>
          <w:p w14:paraId="1D3FA2A5" w14:textId="77777777" w:rsidR="00D211CD" w:rsidRDefault="001D0D03">
            <w:r>
              <w:t>Staff distrust or morale impact if poorly communicated</w:t>
            </w:r>
          </w:p>
        </w:tc>
        <w:tc>
          <w:tcPr>
            <w:tcW w:w="900" w:type="pct"/>
          </w:tcPr>
          <w:p w14:paraId="1D3FA2A6" w14:textId="77777777" w:rsidR="00D211CD" w:rsidRDefault="001D0D03">
            <w:r>
              <w:t>Low</w:t>
            </w:r>
          </w:p>
        </w:tc>
        <w:tc>
          <w:tcPr>
            <w:tcW w:w="900" w:type="pct"/>
          </w:tcPr>
          <w:p w14:paraId="1D3FA2A7" w14:textId="77777777" w:rsidR="00D211CD" w:rsidRDefault="001D0D03">
            <w:r>
              <w:t>Medium</w:t>
            </w:r>
          </w:p>
        </w:tc>
        <w:tc>
          <w:tcPr>
            <w:tcW w:w="950" w:type="pct"/>
          </w:tcPr>
          <w:p w14:paraId="1D3FA2A8" w14:textId="77777777" w:rsidR="00D211CD" w:rsidRDefault="001D0D03">
            <w:r>
              <w:t>Low</w:t>
            </w:r>
          </w:p>
        </w:tc>
      </w:tr>
      <w:tr w:rsidR="00D211CD" w14:paraId="1D3FA2AE" w14:textId="77777777">
        <w:tblPrEx>
          <w:tblCellMar>
            <w:top w:w="0" w:type="dxa"/>
            <w:bottom w:w="0" w:type="dxa"/>
          </w:tblCellMar>
        </w:tblPrEx>
        <w:tc>
          <w:tcPr>
            <w:tcW w:w="2250" w:type="pct"/>
          </w:tcPr>
          <w:p w14:paraId="1D3FA2AA" w14:textId="77777777" w:rsidR="00D211CD" w:rsidRDefault="001D0D03">
            <w:r>
              <w:t>Data retained longer than necessary</w:t>
            </w:r>
          </w:p>
        </w:tc>
        <w:tc>
          <w:tcPr>
            <w:tcW w:w="900" w:type="pct"/>
          </w:tcPr>
          <w:p w14:paraId="1D3FA2AB" w14:textId="77777777" w:rsidR="00D211CD" w:rsidRDefault="001D0D03">
            <w:r>
              <w:t>Low</w:t>
            </w:r>
          </w:p>
        </w:tc>
        <w:tc>
          <w:tcPr>
            <w:tcW w:w="900" w:type="pct"/>
          </w:tcPr>
          <w:p w14:paraId="1D3FA2AC" w14:textId="77777777" w:rsidR="00D211CD" w:rsidRDefault="001D0D03">
            <w:r>
              <w:t>Low</w:t>
            </w:r>
          </w:p>
        </w:tc>
        <w:tc>
          <w:tcPr>
            <w:tcW w:w="950" w:type="pct"/>
          </w:tcPr>
          <w:p w14:paraId="1D3FA2AD" w14:textId="77777777" w:rsidR="00D211CD" w:rsidRDefault="001D0D03">
            <w:r>
              <w:t>Low</w:t>
            </w:r>
          </w:p>
        </w:tc>
      </w:tr>
      <w:tr w:rsidR="00D211CD" w14:paraId="1D3FA2B3" w14:textId="77777777">
        <w:tblPrEx>
          <w:tblCellMar>
            <w:top w:w="0" w:type="dxa"/>
            <w:bottom w:w="0" w:type="dxa"/>
          </w:tblCellMar>
        </w:tblPrEx>
        <w:tc>
          <w:tcPr>
            <w:tcW w:w="2250" w:type="pct"/>
          </w:tcPr>
          <w:p w14:paraId="1D3FA2AF" w14:textId="77777777" w:rsidR="00D211CD" w:rsidRDefault="001D0D03">
            <w:r>
              <w:t>Unauthorised internal access to monitoring data</w:t>
            </w:r>
          </w:p>
        </w:tc>
        <w:tc>
          <w:tcPr>
            <w:tcW w:w="900" w:type="pct"/>
          </w:tcPr>
          <w:p w14:paraId="1D3FA2B0" w14:textId="77777777" w:rsidR="00D211CD" w:rsidRDefault="001D0D03">
            <w:r>
              <w:t>Low</w:t>
            </w:r>
          </w:p>
        </w:tc>
        <w:tc>
          <w:tcPr>
            <w:tcW w:w="900" w:type="pct"/>
          </w:tcPr>
          <w:p w14:paraId="1D3FA2B1" w14:textId="77777777" w:rsidR="00D211CD" w:rsidRDefault="001D0D03">
            <w:r>
              <w:t>Medium</w:t>
            </w:r>
          </w:p>
        </w:tc>
        <w:tc>
          <w:tcPr>
            <w:tcW w:w="950" w:type="pct"/>
          </w:tcPr>
          <w:p w14:paraId="1D3FA2B2" w14:textId="77777777" w:rsidR="00D211CD" w:rsidRDefault="001D0D03">
            <w:r>
              <w:t>Low</w:t>
            </w:r>
          </w:p>
        </w:tc>
      </w:tr>
    </w:tbl>
    <w:p w14:paraId="1D3FA2B4" w14:textId="77777777" w:rsidR="00D211CD" w:rsidRDefault="001D0D03">
      <w:pPr>
        <w:pStyle w:val="Heading1"/>
        <w:spacing w:before="240" w:after="120"/>
      </w:pPr>
      <w:r>
        <w:t>Step 6: Measures Already in Place to Reduce Risk</w:t>
      </w:r>
    </w:p>
    <w:p w14:paraId="1D3FA2B5" w14:textId="77777777" w:rsidR="00D211CD" w:rsidRDefault="001D0D03">
      <w:pPr>
        <w:pStyle w:val="ListParagraph"/>
        <w:numPr>
          <w:ilvl w:val="0"/>
          <w:numId w:val="1"/>
        </w:numPr>
        <w:spacing w:after="120"/>
      </w:pPr>
      <w:r>
        <w:t xml:space="preserve">Personal/private data capture: </w:t>
      </w:r>
      <w:proofErr w:type="spellStart"/>
      <w:proofErr w:type="gramStart"/>
      <w:r>
        <w:t>mi.team's</w:t>
      </w:r>
      <w:proofErr w:type="spellEnd"/>
      <w:proofErr w:type="gramEnd"/>
      <w:r>
        <w:t xml:space="preserve"> Privacy AI automatically identifies and redacts personal or private activity before it's visible to anyone, including managers. No screenshots or keystroke logging are collected at any point.</w:t>
      </w:r>
    </w:p>
    <w:p w14:paraId="1D3FA2B6" w14:textId="77777777" w:rsidR="00D211CD" w:rsidRDefault="001D0D03">
      <w:pPr>
        <w:pStyle w:val="ListParagraph"/>
        <w:numPr>
          <w:ilvl w:val="0"/>
          <w:numId w:val="1"/>
        </w:numPr>
        <w:spacing w:after="120"/>
      </w:pPr>
      <w:r>
        <w:t>Staff distrust: Monitoring was communicated transparently before rollout, with plain-language explanation of what is and isn't collected, rather than introduced silently.</w:t>
      </w:r>
    </w:p>
    <w:p w14:paraId="1D3FA2B7" w14:textId="77777777" w:rsidR="00D211CD" w:rsidRDefault="001D0D03">
      <w:pPr>
        <w:pStyle w:val="ListParagraph"/>
        <w:numPr>
          <w:ilvl w:val="0"/>
          <w:numId w:val="1"/>
        </w:numPr>
        <w:spacing w:after="120"/>
      </w:pPr>
      <w:r>
        <w:t xml:space="preserve">Retention: Data retention is set to </w:t>
      </w:r>
      <w:r>
        <w:rPr>
          <w:b/>
          <w:bCs/>
          <w:color w:val="0F6E56"/>
        </w:rPr>
        <w:t>[X months/years]</w:t>
      </w:r>
      <w:r>
        <w:t xml:space="preserve">, aligned with </w:t>
      </w:r>
      <w:r>
        <w:rPr>
          <w:b/>
          <w:bCs/>
          <w:color w:val="0F6E56"/>
        </w:rPr>
        <w:t>[organisation]'s</w:t>
      </w:r>
      <w:r>
        <w:t xml:space="preserve"> data retention policy.</w:t>
      </w:r>
    </w:p>
    <w:p w14:paraId="1D3FA2B8" w14:textId="77777777" w:rsidR="00D211CD" w:rsidRDefault="001D0D03">
      <w:pPr>
        <w:pStyle w:val="ListParagraph"/>
        <w:numPr>
          <w:ilvl w:val="0"/>
          <w:numId w:val="1"/>
        </w:numPr>
        <w:spacing w:after="120"/>
      </w:pPr>
      <w:r>
        <w:t>Access control: By default, staff who aren't grouped into a shared team can see only minimal presence information about colleagues (devices, last active, member since, top categories) — not productivity data. Full overview visibility is limited to people sharing a team; full individual activity logs are limited to that team's managers, and even then, privacy-redacted content stays hidden regardless of role.</w:t>
      </w:r>
    </w:p>
    <w:p w14:paraId="1D3FA2B9" w14:textId="77777777" w:rsidR="00D211CD" w:rsidRDefault="001D0D03">
      <w:pPr>
        <w:pStyle w:val="Heading1"/>
        <w:spacing w:before="240" w:after="120"/>
      </w:pPr>
      <w:r>
        <w:t>Step 7: Sign-Off and Record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10"/>
        <w:gridCol w:w="2142"/>
        <w:gridCol w:w="1363"/>
        <w:gridCol w:w="2921"/>
      </w:tblGrid>
      <w:tr w:rsidR="00D211CD" w14:paraId="1D3FA2BE" w14:textId="77777777">
        <w:tblPrEx>
          <w:tblCellMar>
            <w:top w:w="0" w:type="dxa"/>
            <w:bottom w:w="0" w:type="dxa"/>
          </w:tblCellMar>
        </w:tblPrEx>
        <w:tc>
          <w:tcPr>
            <w:tcW w:w="1700" w:type="pct"/>
            <w:shd w:val="clear" w:color="auto" w:fill="F2F2F2"/>
          </w:tcPr>
          <w:p w14:paraId="1D3FA2BA" w14:textId="77777777" w:rsidR="00D211CD" w:rsidRDefault="001D0D03">
            <w:r>
              <w:rPr>
                <w:b/>
                <w:bCs/>
              </w:rPr>
              <w:t>Item</w:t>
            </w:r>
          </w:p>
        </w:tc>
        <w:tc>
          <w:tcPr>
            <w:tcW w:w="1100" w:type="pct"/>
            <w:shd w:val="clear" w:color="auto" w:fill="F2F2F2"/>
          </w:tcPr>
          <w:p w14:paraId="1D3FA2BB" w14:textId="77777777" w:rsidR="00D211CD" w:rsidRDefault="001D0D03">
            <w:r>
              <w:rPr>
                <w:b/>
                <w:bCs/>
              </w:rPr>
              <w:t>Name</w:t>
            </w:r>
          </w:p>
        </w:tc>
        <w:tc>
          <w:tcPr>
            <w:tcW w:w="700" w:type="pct"/>
            <w:shd w:val="clear" w:color="auto" w:fill="F2F2F2"/>
          </w:tcPr>
          <w:p w14:paraId="1D3FA2BC" w14:textId="77777777" w:rsidR="00D211CD" w:rsidRDefault="001D0D03">
            <w:r>
              <w:rPr>
                <w:b/>
                <w:bCs/>
              </w:rPr>
              <w:t>Date</w:t>
            </w:r>
          </w:p>
        </w:tc>
        <w:tc>
          <w:tcPr>
            <w:tcW w:w="1500" w:type="pct"/>
            <w:shd w:val="clear" w:color="auto" w:fill="F2F2F2"/>
          </w:tcPr>
          <w:p w14:paraId="1D3FA2BD" w14:textId="77777777" w:rsidR="00D211CD" w:rsidRDefault="001D0D03">
            <w:r>
              <w:rPr>
                <w:b/>
                <w:bCs/>
              </w:rPr>
              <w:t>Notes</w:t>
            </w:r>
          </w:p>
        </w:tc>
      </w:tr>
      <w:tr w:rsidR="00D211CD" w14:paraId="1D3FA2C3" w14:textId="77777777">
        <w:tblPrEx>
          <w:tblCellMar>
            <w:top w:w="0" w:type="dxa"/>
            <w:bottom w:w="0" w:type="dxa"/>
          </w:tblCellMar>
        </w:tblPrEx>
        <w:tc>
          <w:tcPr>
            <w:tcW w:w="1700" w:type="pct"/>
          </w:tcPr>
          <w:p w14:paraId="1D3FA2BF" w14:textId="77777777" w:rsidR="00D211CD" w:rsidRDefault="001D0D03">
            <w:r>
              <w:t>Measures approved by</w:t>
            </w:r>
          </w:p>
        </w:tc>
        <w:tc>
          <w:tcPr>
            <w:tcW w:w="1100" w:type="pct"/>
          </w:tcPr>
          <w:p w14:paraId="1D3FA2C0" w14:textId="77777777" w:rsidR="00D211CD" w:rsidRDefault="00D211CD"/>
        </w:tc>
        <w:tc>
          <w:tcPr>
            <w:tcW w:w="700" w:type="pct"/>
          </w:tcPr>
          <w:p w14:paraId="1D3FA2C1" w14:textId="77777777" w:rsidR="00D211CD" w:rsidRDefault="00D211CD"/>
        </w:tc>
        <w:tc>
          <w:tcPr>
            <w:tcW w:w="1500" w:type="pct"/>
          </w:tcPr>
          <w:p w14:paraId="1D3FA2C2" w14:textId="77777777" w:rsidR="00D211CD" w:rsidRDefault="00D211CD"/>
        </w:tc>
      </w:tr>
      <w:tr w:rsidR="00D211CD" w14:paraId="1D3FA2C8" w14:textId="77777777">
        <w:tblPrEx>
          <w:tblCellMar>
            <w:top w:w="0" w:type="dxa"/>
            <w:bottom w:w="0" w:type="dxa"/>
          </w:tblCellMar>
        </w:tblPrEx>
        <w:tc>
          <w:tcPr>
            <w:tcW w:w="1700" w:type="pct"/>
          </w:tcPr>
          <w:p w14:paraId="1D3FA2C4" w14:textId="77777777" w:rsidR="00D211CD" w:rsidRDefault="001D0D03">
            <w:r>
              <w:t>Residual risk approved by</w:t>
            </w:r>
          </w:p>
        </w:tc>
        <w:tc>
          <w:tcPr>
            <w:tcW w:w="1100" w:type="pct"/>
          </w:tcPr>
          <w:p w14:paraId="1D3FA2C5" w14:textId="77777777" w:rsidR="00D211CD" w:rsidRDefault="00D211CD"/>
        </w:tc>
        <w:tc>
          <w:tcPr>
            <w:tcW w:w="700" w:type="pct"/>
          </w:tcPr>
          <w:p w14:paraId="1D3FA2C6" w14:textId="77777777" w:rsidR="00D211CD" w:rsidRDefault="00D211CD"/>
        </w:tc>
        <w:tc>
          <w:tcPr>
            <w:tcW w:w="1500" w:type="pct"/>
          </w:tcPr>
          <w:p w14:paraId="1D3FA2C7" w14:textId="77777777" w:rsidR="00D211CD" w:rsidRDefault="00D211CD"/>
        </w:tc>
      </w:tr>
      <w:tr w:rsidR="00D211CD" w14:paraId="1D3FA2CD" w14:textId="77777777">
        <w:tblPrEx>
          <w:tblCellMar>
            <w:top w:w="0" w:type="dxa"/>
            <w:bottom w:w="0" w:type="dxa"/>
          </w:tblCellMar>
        </w:tblPrEx>
        <w:tc>
          <w:tcPr>
            <w:tcW w:w="1700" w:type="pct"/>
          </w:tcPr>
          <w:p w14:paraId="1D3FA2C9" w14:textId="77777777" w:rsidR="00D211CD" w:rsidRDefault="001D0D03">
            <w:r>
              <w:t>DPO advice provided (if applicable)</w:t>
            </w:r>
          </w:p>
        </w:tc>
        <w:tc>
          <w:tcPr>
            <w:tcW w:w="1100" w:type="pct"/>
          </w:tcPr>
          <w:p w14:paraId="1D3FA2CA" w14:textId="77777777" w:rsidR="00D211CD" w:rsidRDefault="00D211CD"/>
        </w:tc>
        <w:tc>
          <w:tcPr>
            <w:tcW w:w="700" w:type="pct"/>
          </w:tcPr>
          <w:p w14:paraId="1D3FA2CB" w14:textId="77777777" w:rsidR="00D211CD" w:rsidRDefault="00D211CD"/>
        </w:tc>
        <w:tc>
          <w:tcPr>
            <w:tcW w:w="1500" w:type="pct"/>
          </w:tcPr>
          <w:p w14:paraId="1D3FA2CC" w14:textId="77777777" w:rsidR="00D211CD" w:rsidRDefault="00D211CD"/>
        </w:tc>
      </w:tr>
      <w:tr w:rsidR="00D211CD" w14:paraId="1D3FA2D2" w14:textId="77777777">
        <w:tblPrEx>
          <w:tblCellMar>
            <w:top w:w="0" w:type="dxa"/>
            <w:bottom w:w="0" w:type="dxa"/>
          </w:tblCellMar>
        </w:tblPrEx>
        <w:tc>
          <w:tcPr>
            <w:tcW w:w="1700" w:type="pct"/>
          </w:tcPr>
          <w:p w14:paraId="1D3FA2CE" w14:textId="77777777" w:rsidR="00D211CD" w:rsidRDefault="001D0D03">
            <w:r>
              <w:t>Consultation responses reviewed</w:t>
            </w:r>
          </w:p>
        </w:tc>
        <w:tc>
          <w:tcPr>
            <w:tcW w:w="1100" w:type="pct"/>
          </w:tcPr>
          <w:p w14:paraId="1D3FA2CF" w14:textId="77777777" w:rsidR="00D211CD" w:rsidRDefault="00D211CD"/>
        </w:tc>
        <w:tc>
          <w:tcPr>
            <w:tcW w:w="700" w:type="pct"/>
          </w:tcPr>
          <w:p w14:paraId="1D3FA2D0" w14:textId="77777777" w:rsidR="00D211CD" w:rsidRDefault="00D211CD"/>
        </w:tc>
        <w:tc>
          <w:tcPr>
            <w:tcW w:w="1500" w:type="pct"/>
          </w:tcPr>
          <w:p w14:paraId="1D3FA2D1" w14:textId="77777777" w:rsidR="00D211CD" w:rsidRDefault="00D211CD"/>
        </w:tc>
      </w:tr>
    </w:tbl>
    <w:p w14:paraId="1D3FA2D3" w14:textId="77777777" w:rsidR="00D211CD" w:rsidRDefault="00D211CD">
      <w:pPr>
        <w:spacing w:after="200"/>
      </w:pPr>
    </w:p>
    <w:p w14:paraId="1D3FA2D5" w14:textId="77777777" w:rsidR="00D211CD" w:rsidRDefault="001D0D03">
      <w:pPr>
        <w:pStyle w:val="Heading2"/>
        <w:spacing w:before="240" w:after="120"/>
      </w:pPr>
      <w:r>
        <w:t>Important Note</w:t>
      </w:r>
    </w:p>
    <w:p w14:paraId="48038B6A" w14:textId="77777777" w:rsidR="007B7869" w:rsidRDefault="007B7869" w:rsidP="007B7869">
      <w:pPr>
        <w:spacing w:after="160"/>
      </w:pPr>
      <w:r>
        <w:t>If your risk assessment in Step 5 comes out higher than the standard baseline and can't be reduced further, you must consult the ICO before proceeding — don't skip this check because it feels unlikely to apply.</w:t>
      </w:r>
    </w:p>
    <w:p w14:paraId="1D3FA2D6" w14:textId="77777777" w:rsidR="00D211CD" w:rsidRDefault="001D0D03">
      <w:pPr>
        <w:spacing w:after="200"/>
      </w:pPr>
      <w:r>
        <w:rPr>
          <w:i/>
          <w:iCs/>
          <w:color w:val="666666"/>
        </w:rPr>
        <w:t>This template gives you a properly structured, largely pre-completed starting point, following the ICO's own DPIA process. It isn't a substitute for legal advice specific to your organisation, and we can't guarantee it covers every circumstance — particularly if your rollout involves anything outside the standard settings described here. For anything genuinely high-risk or borderline, get it reviewed by a solicitor before you rely on it.</w:t>
      </w:r>
    </w:p>
    <w:sectPr w:rsidR="00D211CD" w:rsidSect="00EB2B07">
      <w:headerReference w:type="default" r:id="rId10"/>
      <w:pgSz w:w="11906" w:h="16838"/>
      <w:pgMar w:top="1440" w:right="1080" w:bottom="144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9D06" w14:textId="77777777" w:rsidR="001D0D03" w:rsidRDefault="001D0D03" w:rsidP="00082B96">
      <w:r>
        <w:separator/>
      </w:r>
    </w:p>
  </w:endnote>
  <w:endnote w:type="continuationSeparator" w:id="0">
    <w:p w14:paraId="72968C15" w14:textId="77777777" w:rsidR="001D0D03" w:rsidRDefault="001D0D03" w:rsidP="0008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5EBD" w14:textId="77777777" w:rsidR="001D0D03" w:rsidRDefault="001D0D03" w:rsidP="00082B96">
      <w:r>
        <w:separator/>
      </w:r>
    </w:p>
  </w:footnote>
  <w:footnote w:type="continuationSeparator" w:id="0">
    <w:p w14:paraId="098E086C" w14:textId="77777777" w:rsidR="001D0D03" w:rsidRDefault="001D0D03" w:rsidP="00082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C1FF" w14:textId="3BAEC3BB" w:rsidR="00082B96" w:rsidRDefault="00082B96" w:rsidP="00082B96">
    <w:pPr>
      <w:pStyle w:val="Header"/>
      <w:jc w:val="right"/>
    </w:pPr>
    <w:fldSimple w:instr=" FILENAME \* MERGEFORMAT ">
      <w:r>
        <w:rPr>
          <w:noProof/>
        </w:rPr>
        <w:t>dpia-template-mi-team-v1.docx</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4F8E"/>
    <w:multiLevelType w:val="hybridMultilevel"/>
    <w:tmpl w:val="729419B4"/>
    <w:lvl w:ilvl="0" w:tplc="9104F1E8">
      <w:start w:val="1"/>
      <w:numFmt w:val="bullet"/>
      <w:lvlText w:val="●"/>
      <w:lvlJc w:val="left"/>
      <w:pPr>
        <w:ind w:left="720" w:hanging="360"/>
      </w:pPr>
    </w:lvl>
    <w:lvl w:ilvl="1" w:tplc="15363196">
      <w:start w:val="1"/>
      <w:numFmt w:val="bullet"/>
      <w:lvlText w:val="○"/>
      <w:lvlJc w:val="left"/>
      <w:pPr>
        <w:ind w:left="1440" w:hanging="360"/>
      </w:pPr>
    </w:lvl>
    <w:lvl w:ilvl="2" w:tplc="D50A6B42">
      <w:start w:val="1"/>
      <w:numFmt w:val="bullet"/>
      <w:lvlText w:val="■"/>
      <w:lvlJc w:val="left"/>
      <w:pPr>
        <w:ind w:left="2160" w:hanging="360"/>
      </w:pPr>
    </w:lvl>
    <w:lvl w:ilvl="3" w:tplc="210ABFD0">
      <w:start w:val="1"/>
      <w:numFmt w:val="bullet"/>
      <w:lvlText w:val="●"/>
      <w:lvlJc w:val="left"/>
      <w:pPr>
        <w:ind w:left="2880" w:hanging="360"/>
      </w:pPr>
    </w:lvl>
    <w:lvl w:ilvl="4" w:tplc="360493AA">
      <w:start w:val="1"/>
      <w:numFmt w:val="bullet"/>
      <w:lvlText w:val="○"/>
      <w:lvlJc w:val="left"/>
      <w:pPr>
        <w:ind w:left="3600" w:hanging="360"/>
      </w:pPr>
    </w:lvl>
    <w:lvl w:ilvl="5" w:tplc="49D6F7DE">
      <w:start w:val="1"/>
      <w:numFmt w:val="bullet"/>
      <w:lvlText w:val="■"/>
      <w:lvlJc w:val="left"/>
      <w:pPr>
        <w:ind w:left="4320" w:hanging="360"/>
      </w:pPr>
    </w:lvl>
    <w:lvl w:ilvl="6" w:tplc="B45EF9C2">
      <w:start w:val="1"/>
      <w:numFmt w:val="bullet"/>
      <w:lvlText w:val="●"/>
      <w:lvlJc w:val="left"/>
      <w:pPr>
        <w:ind w:left="5040" w:hanging="360"/>
      </w:pPr>
    </w:lvl>
    <w:lvl w:ilvl="7" w:tplc="3A7AD67A">
      <w:start w:val="1"/>
      <w:numFmt w:val="bullet"/>
      <w:lvlText w:val="●"/>
      <w:lvlJc w:val="left"/>
      <w:pPr>
        <w:ind w:left="5760" w:hanging="360"/>
      </w:pPr>
    </w:lvl>
    <w:lvl w:ilvl="8" w:tplc="969681CA">
      <w:start w:val="1"/>
      <w:numFmt w:val="bullet"/>
      <w:lvlText w:val="●"/>
      <w:lvlJc w:val="left"/>
      <w:pPr>
        <w:ind w:left="6480" w:hanging="360"/>
      </w:pPr>
    </w:lvl>
  </w:abstractNum>
  <w:num w:numId="1" w16cid:durableId="1442799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1CD"/>
    <w:rsid w:val="00082B96"/>
    <w:rsid w:val="001D0D03"/>
    <w:rsid w:val="007B7869"/>
    <w:rsid w:val="00C2675B"/>
    <w:rsid w:val="00D211CD"/>
    <w:rsid w:val="00EA3608"/>
    <w:rsid w:val="00EB2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A277"/>
  <w15:docId w15:val="{FEFEE9F3-A823-41DF-B6C4-3518A2DB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0F6E56"/>
      <w:sz w:val="32"/>
      <w:szCs w:val="32"/>
    </w:rPr>
  </w:style>
  <w:style w:type="paragraph" w:styleId="Heading2">
    <w:name w:val="heading 2"/>
    <w:uiPriority w:val="9"/>
    <w:unhideWhenUsed/>
    <w:qFormat/>
    <w:pPr>
      <w:spacing w:before="280" w:after="140"/>
      <w:outlineLvl w:val="1"/>
    </w:pPr>
    <w:rPr>
      <w:b/>
      <w:bCs/>
      <w:color w:val="1A1A1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82B96"/>
    <w:pPr>
      <w:tabs>
        <w:tab w:val="center" w:pos="4513"/>
        <w:tab w:val="right" w:pos="9026"/>
      </w:tabs>
    </w:pPr>
  </w:style>
  <w:style w:type="character" w:customStyle="1" w:styleId="HeaderChar">
    <w:name w:val="Header Char"/>
    <w:basedOn w:val="DefaultParagraphFont"/>
    <w:link w:val="Header"/>
    <w:uiPriority w:val="99"/>
    <w:rsid w:val="00082B96"/>
  </w:style>
  <w:style w:type="paragraph" w:styleId="Footer">
    <w:name w:val="footer"/>
    <w:basedOn w:val="Normal"/>
    <w:link w:val="FooterChar"/>
    <w:uiPriority w:val="99"/>
    <w:unhideWhenUsed/>
    <w:rsid w:val="00082B96"/>
    <w:pPr>
      <w:tabs>
        <w:tab w:val="center" w:pos="4513"/>
        <w:tab w:val="right" w:pos="9026"/>
      </w:tabs>
    </w:pPr>
  </w:style>
  <w:style w:type="character" w:customStyle="1" w:styleId="FooterChar">
    <w:name w:val="Footer Char"/>
    <w:basedOn w:val="DefaultParagraphFont"/>
    <w:link w:val="Footer"/>
    <w:uiPriority w:val="99"/>
    <w:rsid w:val="00082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4967CCFC3A44FB109A6F643E39754" ma:contentTypeVersion="19" ma:contentTypeDescription="Create a new document." ma:contentTypeScope="" ma:versionID="638ac1ce8b5aa02a251c3d03f87fa006">
  <xsd:schema xmlns:xsd="http://www.w3.org/2001/XMLSchema" xmlns:xs="http://www.w3.org/2001/XMLSchema" xmlns:p="http://schemas.microsoft.com/office/2006/metadata/properties" xmlns:ns2="76b74301-f3de-4bdd-8ab6-74fd71648c37" xmlns:ns3="34334ed1-ebc1-49fc-8493-20f75d018475" targetNamespace="http://schemas.microsoft.com/office/2006/metadata/properties" ma:root="true" ma:fieldsID="5feb58bc7d6dd6b90ff645729bae325b" ns2:_="" ns3:_="">
    <xsd:import namespace="76b74301-f3de-4bdd-8ab6-74fd71648c37"/>
    <xsd:import namespace="34334ed1-ebc1-49fc-8493-20f75d018475"/>
    <xsd:element name="properties">
      <xsd:complexType>
        <xsd:sequence>
          <xsd:element name="documentManagement">
            <xsd:complexType>
              <xsd:all>
                <xsd:element ref="ns2:SharedWithUsers" minOccurs="0"/>
                <xsd:element ref="ns2:SharingHintHash"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2:SharedWithDetail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74301-f3de-4bdd-8ab6-74fd71648c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501aa9-998d-4e49-bfb1-08f04beea9fe}" ma:internalName="TaxCatchAll" ma:showField="CatchAllData" ma:web="76b74301-f3de-4bdd-8ab6-74fd71648c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334ed1-ebc1-49fc-8493-20f75d01847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8a99a6-0f8b-40e3-8599-ce25494cc2f5"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334ed1-ebc1-49fc-8493-20f75d018475">
      <Terms xmlns="http://schemas.microsoft.com/office/infopath/2007/PartnerControls"/>
    </lcf76f155ced4ddcb4097134ff3c332f>
    <TaxCatchAll xmlns="76b74301-f3de-4bdd-8ab6-74fd71648c37" xsi:nil="true"/>
  </documentManagement>
</p:properties>
</file>

<file path=customXml/itemProps1.xml><?xml version="1.0" encoding="utf-8"?>
<ds:datastoreItem xmlns:ds="http://schemas.openxmlformats.org/officeDocument/2006/customXml" ds:itemID="{DD046488-AF01-4D03-A4F3-62C69D33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74301-f3de-4bdd-8ab6-74fd71648c37"/>
    <ds:schemaRef ds:uri="34334ed1-ebc1-49fc-8493-20f75d018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C6A3F-0465-41FA-BAC7-5EACD04D1689}">
  <ds:schemaRefs>
    <ds:schemaRef ds:uri="http://schemas.microsoft.com/sharepoint/v3/contenttype/forms"/>
  </ds:schemaRefs>
</ds:datastoreItem>
</file>

<file path=customXml/itemProps3.xml><?xml version="1.0" encoding="utf-8"?>
<ds:datastoreItem xmlns:ds="http://schemas.openxmlformats.org/officeDocument/2006/customXml" ds:itemID="{F520E2B2-E7E5-4B63-9979-E11F2C1FB396}">
  <ds:schemaRefs>
    <ds:schemaRef ds:uri="http://schemas.microsoft.com/office/2006/metadata/properties"/>
    <ds:schemaRef ds:uri="http://schemas.microsoft.com/office/infopath/2007/PartnerControls"/>
    <ds:schemaRef ds:uri="34334ed1-ebc1-49fc-8493-20f75d018475"/>
    <ds:schemaRef ds:uri="76b74301-f3de-4bdd-8ab6-74fd71648c3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4239</Characters>
  <Application>Microsoft Office Word</Application>
  <DocSecurity>0</DocSecurity>
  <Lines>35</Lines>
  <Paragraphs>9</Paragraphs>
  <ScaleCrop>false</ScaleCrop>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Ryan Butler</cp:lastModifiedBy>
  <cp:revision>4</cp:revision>
  <dcterms:created xsi:type="dcterms:W3CDTF">2026-08-19T10:10:00Z</dcterms:created>
  <dcterms:modified xsi:type="dcterms:W3CDTF">2026-08-19T10:11:00Z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0x0101002564967CCFC3A44FB109A6F643E39754</vt:lpwstr>
  </property>
  <property fmtid="{D5CDD505-2E9C-101B-9397-08002B2CF9AE}" pid="3" name="MediaServiceImageTags">
    <vt:lpwstr/>
  </property>
</Properties>
</file>